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450"/>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7480"/>
      </w:tblGrid>
      <w:tr w:rsidR="007444E1" w:rsidRPr="00B31CCA" w14:paraId="525B6886" w14:textId="77777777" w:rsidTr="007444E1">
        <w:trPr>
          <w:trHeight w:val="2248"/>
        </w:trPr>
        <w:tc>
          <w:tcPr>
            <w:tcW w:w="3155" w:type="dxa"/>
            <w:tcBorders>
              <w:top w:val="single" w:sz="18" w:space="0" w:color="auto"/>
              <w:left w:val="single" w:sz="18" w:space="0" w:color="auto"/>
              <w:bottom w:val="single" w:sz="18" w:space="0" w:color="auto"/>
              <w:right w:val="single" w:sz="18" w:space="0" w:color="auto"/>
            </w:tcBorders>
          </w:tcPr>
          <w:p w14:paraId="7B4E0F5E" w14:textId="4FE2250C" w:rsidR="007444E1" w:rsidRPr="00B31CCA" w:rsidRDefault="007444E1" w:rsidP="007444E1">
            <w:pPr>
              <w:rPr>
                <w:rFonts w:ascii="Times New Roman" w:hAnsi="Times New Roman"/>
                <w:i/>
              </w:rPr>
            </w:pPr>
            <w:r w:rsidRPr="00B31CCA">
              <w:rPr>
                <w:rFonts w:ascii="Times New Roman" w:hAnsi="Times New Roman"/>
                <w:i/>
                <w:noProof/>
              </w:rPr>
              <w:drawing>
                <wp:inline distT="0" distB="0" distL="0" distR="0" wp14:anchorId="610A128D" wp14:editId="49189A3E">
                  <wp:extent cx="1463040" cy="1188720"/>
                  <wp:effectExtent l="0" t="0" r="3810" b="0"/>
                  <wp:docPr id="1" name="Picture 1" descr="JHM JH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HM JHH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3040" cy="1188720"/>
                          </a:xfrm>
                          <a:prstGeom prst="rect">
                            <a:avLst/>
                          </a:prstGeom>
                          <a:noFill/>
                          <a:ln>
                            <a:noFill/>
                          </a:ln>
                        </pic:spPr>
                      </pic:pic>
                    </a:graphicData>
                  </a:graphic>
                </wp:inline>
              </w:drawing>
            </w:r>
          </w:p>
        </w:tc>
        <w:tc>
          <w:tcPr>
            <w:tcW w:w="7480" w:type="dxa"/>
            <w:tcBorders>
              <w:top w:val="single" w:sz="18" w:space="0" w:color="auto"/>
              <w:left w:val="single" w:sz="18" w:space="0" w:color="auto"/>
              <w:bottom w:val="single" w:sz="18" w:space="0" w:color="auto"/>
              <w:right w:val="single" w:sz="18" w:space="0" w:color="auto"/>
            </w:tcBorders>
          </w:tcPr>
          <w:p w14:paraId="7CB089A6" w14:textId="77777777" w:rsidR="007444E1" w:rsidRPr="00B31CCA" w:rsidRDefault="007444E1" w:rsidP="007444E1">
            <w:pPr>
              <w:jc w:val="center"/>
              <w:rPr>
                <w:rFonts w:ascii="Times New Roman" w:hAnsi="Times New Roman"/>
                <w:i/>
                <w:color w:val="000000"/>
              </w:rPr>
            </w:pPr>
          </w:p>
          <w:p w14:paraId="1B9D92ED" w14:textId="77777777" w:rsidR="007444E1" w:rsidRDefault="007444E1" w:rsidP="007444E1">
            <w:pPr>
              <w:jc w:val="center"/>
              <w:rPr>
                <w:rFonts w:ascii="Times New Roman" w:hAnsi="Times New Roman"/>
                <w:b/>
                <w:i/>
              </w:rPr>
            </w:pPr>
          </w:p>
          <w:p w14:paraId="65B867FA" w14:textId="77777777" w:rsidR="007444E1" w:rsidRPr="004F3C17" w:rsidRDefault="007444E1" w:rsidP="007444E1">
            <w:pPr>
              <w:jc w:val="center"/>
              <w:rPr>
                <w:rFonts w:ascii="Times New Roman" w:hAnsi="Times New Roman" w:cs="Times New Roman"/>
                <w:b/>
                <w:bCs/>
                <w:sz w:val="22"/>
                <w:szCs w:val="22"/>
              </w:rPr>
            </w:pPr>
            <w:r w:rsidRPr="004F3C17">
              <w:rPr>
                <w:rFonts w:ascii="Times New Roman" w:hAnsi="Times New Roman" w:cs="Times New Roman"/>
                <w:b/>
                <w:bCs/>
                <w:sz w:val="22"/>
                <w:szCs w:val="22"/>
              </w:rPr>
              <w:t>Johns Hopkins Hospital and Johns Hopkins University School of Medicine</w:t>
            </w:r>
          </w:p>
          <w:p w14:paraId="6E79BCDB" w14:textId="77777777" w:rsidR="007444E1" w:rsidRPr="004F3C17" w:rsidRDefault="007444E1" w:rsidP="007444E1">
            <w:pPr>
              <w:jc w:val="center"/>
              <w:rPr>
                <w:rFonts w:ascii="Times New Roman" w:hAnsi="Times New Roman" w:cs="Times New Roman"/>
                <w:b/>
                <w:bCs/>
                <w:sz w:val="22"/>
                <w:szCs w:val="22"/>
              </w:rPr>
            </w:pPr>
            <w:r w:rsidRPr="004F3C17">
              <w:rPr>
                <w:rFonts w:ascii="Times New Roman" w:hAnsi="Times New Roman" w:cs="Times New Roman"/>
                <w:b/>
                <w:bCs/>
                <w:sz w:val="22"/>
                <w:szCs w:val="22"/>
              </w:rPr>
              <w:t>Graduate Medical Education (GME)</w:t>
            </w:r>
          </w:p>
          <w:p w14:paraId="4F4F1D76" w14:textId="77777777" w:rsidR="007444E1" w:rsidRPr="004F3C17" w:rsidRDefault="007444E1" w:rsidP="007444E1">
            <w:pPr>
              <w:jc w:val="center"/>
              <w:rPr>
                <w:rFonts w:ascii="Times New Roman" w:hAnsi="Times New Roman" w:cs="Times New Roman"/>
                <w:b/>
                <w:bCs/>
                <w:sz w:val="22"/>
                <w:szCs w:val="22"/>
              </w:rPr>
            </w:pPr>
            <w:r w:rsidRPr="004F3C17">
              <w:rPr>
                <w:rFonts w:ascii="Times New Roman" w:hAnsi="Times New Roman" w:cs="Times New Roman"/>
                <w:b/>
                <w:bCs/>
                <w:sz w:val="22"/>
                <w:szCs w:val="22"/>
              </w:rPr>
              <w:t>Expectations and Guidelines for Preparation of Residents as Teachers</w:t>
            </w:r>
          </w:p>
          <w:p w14:paraId="071A5E0D" w14:textId="77777777" w:rsidR="007444E1" w:rsidRPr="00B31CCA" w:rsidRDefault="007444E1" w:rsidP="007444E1">
            <w:pPr>
              <w:jc w:val="center"/>
              <w:rPr>
                <w:rFonts w:ascii="Times New Roman" w:hAnsi="Times New Roman"/>
                <w:b/>
                <w:i/>
              </w:rPr>
            </w:pPr>
          </w:p>
          <w:p w14:paraId="480DBEBE" w14:textId="77777777" w:rsidR="007444E1" w:rsidRPr="00B31CCA" w:rsidRDefault="007444E1" w:rsidP="007444E1">
            <w:pPr>
              <w:jc w:val="center"/>
              <w:rPr>
                <w:rFonts w:ascii="Times New Roman" w:hAnsi="Times New Roman"/>
                <w:i/>
              </w:rPr>
            </w:pPr>
          </w:p>
        </w:tc>
      </w:tr>
    </w:tbl>
    <w:p w14:paraId="4D5C17CE" w14:textId="77777777" w:rsidR="007444E1" w:rsidRDefault="007444E1" w:rsidP="004F3C17">
      <w:pPr>
        <w:jc w:val="center"/>
        <w:rPr>
          <w:rFonts w:ascii="Times New Roman" w:hAnsi="Times New Roman" w:cs="Times New Roman"/>
          <w:b/>
          <w:bCs/>
          <w:sz w:val="22"/>
          <w:szCs w:val="22"/>
        </w:rPr>
      </w:pPr>
    </w:p>
    <w:p w14:paraId="6DD1F8BA" w14:textId="2B3FF680" w:rsidR="004F3C17" w:rsidRPr="004F3C17" w:rsidRDefault="004F3C17" w:rsidP="004F3C17">
      <w:pPr>
        <w:jc w:val="center"/>
        <w:rPr>
          <w:rFonts w:ascii="Times New Roman" w:hAnsi="Times New Roman" w:cs="Times New Roman"/>
          <w:sz w:val="22"/>
          <w:szCs w:val="22"/>
        </w:rPr>
      </w:pPr>
    </w:p>
    <w:p w14:paraId="4FE05AF3" w14:textId="22044D0D" w:rsidR="004F3C17" w:rsidRPr="00015A86" w:rsidRDefault="004F3C17" w:rsidP="004F3C17">
      <w:pPr>
        <w:rPr>
          <w:rFonts w:ascii="Times New Roman" w:hAnsi="Times New Roman" w:cs="Times New Roman"/>
          <w:b/>
          <w:sz w:val="22"/>
          <w:szCs w:val="22"/>
        </w:rPr>
      </w:pPr>
      <w:r w:rsidRPr="00015A86">
        <w:rPr>
          <w:rFonts w:ascii="Times New Roman" w:hAnsi="Times New Roman" w:cs="Times New Roman"/>
          <w:b/>
          <w:sz w:val="22"/>
          <w:szCs w:val="22"/>
        </w:rPr>
        <w:t>Purpose:</w:t>
      </w:r>
    </w:p>
    <w:p w14:paraId="0BE830D2" w14:textId="7D1C3108" w:rsidR="00BF3AC6" w:rsidRDefault="006165DC" w:rsidP="004F3C17">
      <w:pPr>
        <w:rPr>
          <w:rFonts w:ascii="Times New Roman" w:hAnsi="Times New Roman" w:cs="Times New Roman"/>
          <w:i/>
          <w:iCs/>
          <w:sz w:val="22"/>
          <w:szCs w:val="22"/>
        </w:rPr>
      </w:pPr>
      <w:r>
        <w:rPr>
          <w:rFonts w:ascii="Times New Roman" w:hAnsi="Times New Roman" w:cs="Times New Roman"/>
          <w:sz w:val="22"/>
          <w:szCs w:val="22"/>
        </w:rPr>
        <w:t>Residents and fellows often serve as teachers and role models for medical students.  Thus, it is critical that they be prepared for their roles.</w:t>
      </w:r>
    </w:p>
    <w:p w14:paraId="35E70897" w14:textId="77777777" w:rsidR="00BF3AC6" w:rsidRDefault="00BF3AC6" w:rsidP="00BF3AC6">
      <w:pPr>
        <w:pStyle w:val="ListParagraph"/>
        <w:numPr>
          <w:ilvl w:val="0"/>
          <w:numId w:val="3"/>
        </w:numPr>
        <w:rPr>
          <w:rFonts w:ascii="Times New Roman" w:hAnsi="Times New Roman" w:cs="Times New Roman"/>
          <w:sz w:val="22"/>
          <w:szCs w:val="22"/>
        </w:rPr>
      </w:pPr>
      <w:r w:rsidRPr="00BF3AC6">
        <w:rPr>
          <w:rFonts w:ascii="Times New Roman" w:hAnsi="Times New Roman" w:cs="Times New Roman"/>
          <w:sz w:val="22"/>
          <w:szCs w:val="22"/>
        </w:rPr>
        <w:t>Accreditation Council on Graduate Medical Education (ACGME) Common Program Requirement IV.B.1.e)</w:t>
      </w:r>
      <w:proofErr w:type="gramStart"/>
      <w:r w:rsidRPr="00BF3AC6">
        <w:rPr>
          <w:rFonts w:ascii="Times New Roman" w:hAnsi="Times New Roman" w:cs="Times New Roman"/>
          <w:sz w:val="22"/>
          <w:szCs w:val="22"/>
        </w:rPr>
        <w:t>.(</w:t>
      </w:r>
      <w:proofErr w:type="gramEnd"/>
      <w:r w:rsidRPr="00BF3AC6">
        <w:rPr>
          <w:rFonts w:ascii="Times New Roman" w:hAnsi="Times New Roman" w:cs="Times New Roman"/>
          <w:sz w:val="22"/>
          <w:szCs w:val="22"/>
        </w:rPr>
        <w:t>1).(d) expects residents to demonstrate competence in educating patients, families, students, residents, and other health professionals.</w:t>
      </w:r>
    </w:p>
    <w:p w14:paraId="1A0CAD96" w14:textId="7B41690F" w:rsidR="004F3C17" w:rsidRPr="00BF3AC6" w:rsidRDefault="00BF3AC6" w:rsidP="00BF3AC6">
      <w:pPr>
        <w:pStyle w:val="ListParagraph"/>
        <w:numPr>
          <w:ilvl w:val="0"/>
          <w:numId w:val="3"/>
        </w:numPr>
        <w:rPr>
          <w:rFonts w:ascii="Times New Roman" w:hAnsi="Times New Roman" w:cs="Times New Roman"/>
          <w:sz w:val="22"/>
          <w:szCs w:val="22"/>
        </w:rPr>
      </w:pPr>
      <w:r w:rsidRPr="00BF3AC6">
        <w:rPr>
          <w:rFonts w:ascii="Times New Roman" w:hAnsi="Times New Roman" w:cs="Times New Roman"/>
          <w:sz w:val="22"/>
          <w:szCs w:val="22"/>
        </w:rPr>
        <w:t>The Liaison Committee on Medical Education (LCME) which accredits medical schools has expectation for residents to serve as teachers of medical students (Standard 9.1). In accordance with these accreditation requirements and expectations, residents who supervise or teach medical students must be familiar with and receive orientation on the educational objectives and required clinical encounters of the course or clerkship and be prepared for their roles in teaching and assessment</w:t>
      </w:r>
    </w:p>
    <w:p w14:paraId="16229DED" w14:textId="4911569A" w:rsidR="004F3C17" w:rsidRPr="004F3C17" w:rsidRDefault="004F3C17" w:rsidP="004F3C17">
      <w:pPr>
        <w:rPr>
          <w:rFonts w:ascii="Times New Roman" w:hAnsi="Times New Roman" w:cs="Times New Roman"/>
          <w:sz w:val="22"/>
          <w:szCs w:val="22"/>
        </w:rPr>
      </w:pPr>
    </w:p>
    <w:p w14:paraId="3934330E" w14:textId="22976326" w:rsidR="004F3C17" w:rsidRPr="004F3C17" w:rsidRDefault="004F3C17" w:rsidP="004F3C17">
      <w:pPr>
        <w:rPr>
          <w:rFonts w:ascii="Times New Roman" w:hAnsi="Times New Roman" w:cs="Times New Roman"/>
          <w:sz w:val="22"/>
          <w:szCs w:val="22"/>
        </w:rPr>
      </w:pPr>
    </w:p>
    <w:p w14:paraId="24C37216" w14:textId="34BEED67" w:rsidR="004F3C17" w:rsidRPr="00015A86" w:rsidRDefault="004F3C17" w:rsidP="004F3C17">
      <w:pPr>
        <w:rPr>
          <w:rFonts w:ascii="Times New Roman" w:hAnsi="Times New Roman" w:cs="Times New Roman"/>
          <w:b/>
          <w:sz w:val="22"/>
          <w:szCs w:val="22"/>
        </w:rPr>
      </w:pPr>
      <w:bookmarkStart w:id="0" w:name="_GoBack"/>
      <w:permStart w:id="1213664154" w:edGrp="everyone"/>
      <w:r w:rsidRPr="00015A86">
        <w:rPr>
          <w:rFonts w:ascii="Times New Roman" w:hAnsi="Times New Roman" w:cs="Times New Roman"/>
          <w:b/>
          <w:sz w:val="22"/>
          <w:szCs w:val="22"/>
        </w:rPr>
        <w:t>Requirements:</w:t>
      </w:r>
    </w:p>
    <w:bookmarkEnd w:id="0"/>
    <w:permEnd w:id="1213664154"/>
    <w:p w14:paraId="1C9EBA2F" w14:textId="7963CE01" w:rsidR="00BF3AC6" w:rsidRDefault="004F3C17" w:rsidP="00BF3AC6">
      <w:pPr>
        <w:pStyle w:val="ListParagraph"/>
        <w:numPr>
          <w:ilvl w:val="0"/>
          <w:numId w:val="6"/>
        </w:numPr>
        <w:rPr>
          <w:rFonts w:ascii="Times New Roman" w:hAnsi="Times New Roman" w:cs="Times New Roman"/>
          <w:sz w:val="22"/>
          <w:szCs w:val="22"/>
        </w:rPr>
      </w:pPr>
      <w:r w:rsidRPr="004F3C17">
        <w:rPr>
          <w:rFonts w:ascii="Times New Roman" w:hAnsi="Times New Roman" w:cs="Times New Roman"/>
          <w:sz w:val="22"/>
          <w:szCs w:val="22"/>
        </w:rPr>
        <w:t xml:space="preserve">Institutional  - </w:t>
      </w:r>
      <w:r w:rsidR="00BF3AC6" w:rsidRPr="00BF3AC6">
        <w:rPr>
          <w:rFonts w:ascii="Times New Roman" w:hAnsi="Times New Roman" w:cs="Times New Roman"/>
          <w:sz w:val="22"/>
          <w:szCs w:val="22"/>
        </w:rPr>
        <w:t xml:space="preserve">In accordance with accreditation requirements and </w:t>
      </w:r>
      <w:r w:rsidR="00BF3AC6">
        <w:rPr>
          <w:rFonts w:ascii="Times New Roman" w:hAnsi="Times New Roman" w:cs="Times New Roman"/>
          <w:sz w:val="22"/>
          <w:szCs w:val="22"/>
        </w:rPr>
        <w:t xml:space="preserve">institutional </w:t>
      </w:r>
      <w:r w:rsidR="00BF3AC6" w:rsidRPr="00BF3AC6">
        <w:rPr>
          <w:rFonts w:ascii="Times New Roman" w:hAnsi="Times New Roman" w:cs="Times New Roman"/>
          <w:sz w:val="22"/>
          <w:szCs w:val="22"/>
        </w:rPr>
        <w:t>expectations, residents who supervise or teach medical students must be familiar with and receive orientation on the educational objectives and required clinical encounters of the course or clerkship and be prepared for their roles in teaching and assessment</w:t>
      </w:r>
      <w:r w:rsidR="00BF3AC6">
        <w:rPr>
          <w:rFonts w:ascii="Times New Roman" w:hAnsi="Times New Roman" w:cs="Times New Roman"/>
          <w:sz w:val="22"/>
          <w:szCs w:val="22"/>
        </w:rPr>
        <w:t xml:space="preserve">. </w:t>
      </w:r>
      <w:r w:rsidR="006165DC">
        <w:rPr>
          <w:rFonts w:ascii="Times New Roman" w:hAnsi="Times New Roman" w:cs="Times New Roman"/>
          <w:sz w:val="22"/>
          <w:szCs w:val="22"/>
        </w:rPr>
        <w:t xml:space="preserve"> The JHUSOM will provide access to learning materials to introduce and educate all residents and fellows applicable to their roles as teachers of medical students.</w:t>
      </w:r>
    </w:p>
    <w:p w14:paraId="77EDC822" w14:textId="77777777" w:rsidR="00BF3AC6" w:rsidRPr="00BF3AC6" w:rsidRDefault="00BF3AC6" w:rsidP="00BF3AC6">
      <w:pPr>
        <w:ind w:left="360"/>
        <w:rPr>
          <w:rFonts w:ascii="Times New Roman" w:hAnsi="Times New Roman" w:cs="Times New Roman"/>
          <w:sz w:val="22"/>
          <w:szCs w:val="22"/>
        </w:rPr>
      </w:pPr>
    </w:p>
    <w:p w14:paraId="25D0DCE6" w14:textId="7A1B0EC1" w:rsidR="00BF3AC6" w:rsidRDefault="006165DC" w:rsidP="00BF3AC6">
      <w:pPr>
        <w:ind w:left="720"/>
        <w:rPr>
          <w:rFonts w:ascii="Times New Roman" w:hAnsi="Times New Roman" w:cs="Times New Roman"/>
          <w:sz w:val="22"/>
          <w:szCs w:val="22"/>
        </w:rPr>
      </w:pPr>
      <w:r>
        <w:rPr>
          <w:rFonts w:ascii="Times New Roman" w:hAnsi="Times New Roman" w:cs="Times New Roman"/>
          <w:sz w:val="22"/>
          <w:szCs w:val="22"/>
        </w:rPr>
        <w:t>The Residents as Teachers m</w:t>
      </w:r>
      <w:r w:rsidR="004F3C17" w:rsidRPr="00BF3AC6">
        <w:rPr>
          <w:rFonts w:ascii="Times New Roman" w:hAnsi="Times New Roman" w:cs="Times New Roman"/>
          <w:sz w:val="22"/>
          <w:szCs w:val="22"/>
        </w:rPr>
        <w:t xml:space="preserve">odule in myLearning </w:t>
      </w:r>
      <w:r>
        <w:rPr>
          <w:rFonts w:ascii="Times New Roman" w:hAnsi="Times New Roman" w:cs="Times New Roman"/>
          <w:sz w:val="22"/>
          <w:szCs w:val="22"/>
        </w:rPr>
        <w:t xml:space="preserve">is required of all incoming trainees </w:t>
      </w:r>
      <w:r w:rsidR="004F3C17" w:rsidRPr="00BF3AC6">
        <w:rPr>
          <w:rFonts w:ascii="Times New Roman" w:hAnsi="Times New Roman" w:cs="Times New Roman"/>
          <w:sz w:val="22"/>
          <w:szCs w:val="22"/>
        </w:rPr>
        <w:t>as part of th</w:t>
      </w:r>
      <w:r>
        <w:rPr>
          <w:rFonts w:ascii="Times New Roman" w:hAnsi="Times New Roman" w:cs="Times New Roman"/>
          <w:sz w:val="22"/>
          <w:szCs w:val="22"/>
        </w:rPr>
        <w:t xml:space="preserve">e GME onboarding process </w:t>
      </w:r>
      <w:r w:rsidR="00BF3AC6">
        <w:rPr>
          <w:rFonts w:ascii="Times New Roman" w:hAnsi="Times New Roman" w:cs="Times New Roman"/>
          <w:sz w:val="22"/>
          <w:szCs w:val="22"/>
        </w:rPr>
        <w:t>and is monitored centrally</w:t>
      </w:r>
      <w:r w:rsidR="004F3C17" w:rsidRPr="00BF3AC6">
        <w:rPr>
          <w:rFonts w:ascii="Times New Roman" w:hAnsi="Times New Roman" w:cs="Times New Roman"/>
          <w:sz w:val="22"/>
          <w:szCs w:val="22"/>
        </w:rPr>
        <w:t>:</w:t>
      </w:r>
    </w:p>
    <w:p w14:paraId="0374417E" w14:textId="7887057B" w:rsidR="004F3C17" w:rsidRPr="00BF3AC6" w:rsidRDefault="009C4957" w:rsidP="00BF3AC6">
      <w:pPr>
        <w:ind w:left="720"/>
        <w:rPr>
          <w:rFonts w:ascii="Times New Roman" w:eastAsia="Times New Roman" w:hAnsi="Times New Roman" w:cs="Times New Roman"/>
          <w:sz w:val="22"/>
          <w:szCs w:val="22"/>
        </w:rPr>
      </w:pPr>
      <w:hyperlink r:id="rId6" w:history="1">
        <w:r w:rsidR="00BF3AC6" w:rsidRPr="00E818F7">
          <w:rPr>
            <w:rStyle w:val="Hyperlink"/>
            <w:rFonts w:ascii="Times New Roman" w:hAnsi="Times New Roman" w:cs="Times New Roman"/>
            <w:sz w:val="22"/>
            <w:szCs w:val="22"/>
          </w:rPr>
          <w:t>https://lms14.learnshare.com/dashboard/dash.home.aspx?Z=UGyaxR424LIiP1vLtS8kkP1SflAH0aCEuQcLWf8dU9Rt5qXzf89xuxb%2bHwNw12aM</w:t>
        </w:r>
      </w:hyperlink>
      <w:r w:rsidR="00015A86">
        <w:rPr>
          <w:rStyle w:val="Hyperlink"/>
          <w:rFonts w:ascii="Times New Roman" w:hAnsi="Times New Roman" w:cs="Times New Roman"/>
          <w:sz w:val="22"/>
          <w:szCs w:val="22"/>
        </w:rPr>
        <w:t xml:space="preserve"> </w:t>
      </w:r>
      <w:proofErr w:type="gramStart"/>
      <w:r w:rsidR="004F3C17" w:rsidRPr="00BF3AC6">
        <w:rPr>
          <w:rFonts w:ascii="Times New Roman" w:eastAsia="Times New Roman" w:hAnsi="Times New Roman" w:cs="Times New Roman"/>
          <w:color w:val="333333"/>
          <w:sz w:val="22"/>
          <w:szCs w:val="22"/>
          <w:shd w:val="clear" w:color="auto" w:fill="FFFFFF"/>
        </w:rPr>
        <w:t>The</w:t>
      </w:r>
      <w:proofErr w:type="gramEnd"/>
      <w:r w:rsidR="004F3C17" w:rsidRPr="00BF3AC6">
        <w:rPr>
          <w:rFonts w:ascii="Times New Roman" w:eastAsia="Times New Roman" w:hAnsi="Times New Roman" w:cs="Times New Roman"/>
          <w:color w:val="333333"/>
          <w:sz w:val="22"/>
          <w:szCs w:val="22"/>
          <w:shd w:val="clear" w:color="auto" w:fill="FFFFFF"/>
        </w:rPr>
        <w:t xml:space="preserve"> course provides residents with an overview of their roles as medical student </w:t>
      </w:r>
      <w:r w:rsidR="00015A86">
        <w:rPr>
          <w:rFonts w:ascii="Times New Roman" w:eastAsia="Times New Roman" w:hAnsi="Times New Roman" w:cs="Times New Roman"/>
          <w:color w:val="333333"/>
          <w:sz w:val="22"/>
          <w:szCs w:val="22"/>
          <w:shd w:val="clear" w:color="auto" w:fill="FFFFFF"/>
        </w:rPr>
        <w:t>e</w:t>
      </w:r>
      <w:r w:rsidR="004F3C17" w:rsidRPr="00BF3AC6">
        <w:rPr>
          <w:rFonts w:ascii="Times New Roman" w:eastAsia="Times New Roman" w:hAnsi="Times New Roman" w:cs="Times New Roman"/>
          <w:color w:val="333333"/>
          <w:sz w:val="22"/>
          <w:szCs w:val="22"/>
          <w:shd w:val="clear" w:color="auto" w:fill="FFFFFF"/>
        </w:rPr>
        <w:t>ducators.  Points of emphasis include the central components of a framework for effective teaching, important institutional policies, and the goals and objectives for each of the core clerkships.</w:t>
      </w:r>
    </w:p>
    <w:p w14:paraId="49F11DF5" w14:textId="758D73FA" w:rsidR="004F3C17" w:rsidRPr="004F3C17" w:rsidRDefault="004F3C17" w:rsidP="004F3C17">
      <w:pPr>
        <w:ind w:left="720"/>
        <w:rPr>
          <w:rFonts w:ascii="Times New Roman" w:hAnsi="Times New Roman" w:cs="Times New Roman"/>
          <w:sz w:val="22"/>
          <w:szCs w:val="22"/>
        </w:rPr>
      </w:pPr>
    </w:p>
    <w:p w14:paraId="52ADF918" w14:textId="551324D9" w:rsidR="004F3C17" w:rsidRPr="004F3C17" w:rsidRDefault="004F3C17" w:rsidP="00BF3AC6">
      <w:pPr>
        <w:pStyle w:val="ListParagraph"/>
        <w:numPr>
          <w:ilvl w:val="0"/>
          <w:numId w:val="6"/>
        </w:numPr>
        <w:rPr>
          <w:rFonts w:ascii="Times New Roman" w:hAnsi="Times New Roman" w:cs="Times New Roman"/>
          <w:sz w:val="22"/>
          <w:szCs w:val="22"/>
        </w:rPr>
      </w:pPr>
      <w:r w:rsidRPr="004F3C17">
        <w:rPr>
          <w:rFonts w:ascii="Times New Roman" w:hAnsi="Times New Roman" w:cs="Times New Roman"/>
          <w:sz w:val="22"/>
          <w:szCs w:val="22"/>
        </w:rPr>
        <w:t>Departmental</w:t>
      </w:r>
      <w:r>
        <w:rPr>
          <w:rFonts w:ascii="Times New Roman" w:hAnsi="Times New Roman" w:cs="Times New Roman"/>
          <w:sz w:val="22"/>
          <w:szCs w:val="22"/>
        </w:rPr>
        <w:t xml:space="preserve"> – Each department is required to regularly provide clerkship specific learning objectives, performance expectations, pertinent education policies, and instruction in use of assessment tools and additional customized resident as teachers programs to ensure effective teaching and maintenance of a positive learning environment. Residents should have access to and regularly receive feedback on their teaching skills and contributions. </w:t>
      </w:r>
    </w:p>
    <w:p w14:paraId="4EC5A9BE" w14:textId="100DAD4D" w:rsidR="004F3C17" w:rsidRPr="004F3C17" w:rsidRDefault="004F3C17" w:rsidP="004F3C17">
      <w:pPr>
        <w:rPr>
          <w:rFonts w:ascii="Times New Roman" w:hAnsi="Times New Roman" w:cs="Times New Roman"/>
          <w:sz w:val="22"/>
          <w:szCs w:val="22"/>
        </w:rPr>
      </w:pPr>
    </w:p>
    <w:p w14:paraId="77BE1D30" w14:textId="7EA255B5" w:rsidR="004F3C17" w:rsidRPr="004F3C17" w:rsidRDefault="004F3C17" w:rsidP="004F3C17">
      <w:pPr>
        <w:rPr>
          <w:rFonts w:ascii="Times New Roman" w:hAnsi="Times New Roman" w:cs="Times New Roman"/>
          <w:sz w:val="22"/>
          <w:szCs w:val="22"/>
        </w:rPr>
      </w:pPr>
    </w:p>
    <w:sectPr w:rsidR="004F3C17" w:rsidRPr="004F3C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F575BA"/>
    <w:multiLevelType w:val="hybridMultilevel"/>
    <w:tmpl w:val="407C4A70"/>
    <w:lvl w:ilvl="0" w:tplc="C12ADB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511009"/>
    <w:multiLevelType w:val="multilevel"/>
    <w:tmpl w:val="27C4FC8E"/>
    <w:styleLink w:val="CurrentList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3F34948"/>
    <w:multiLevelType w:val="multilevel"/>
    <w:tmpl w:val="20EE9132"/>
    <w:styleLink w:val="CurrentList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5875C54"/>
    <w:multiLevelType w:val="hybridMultilevel"/>
    <w:tmpl w:val="BEC41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4012D9"/>
    <w:multiLevelType w:val="hybridMultilevel"/>
    <w:tmpl w:val="80940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A41D44"/>
    <w:multiLevelType w:val="hybridMultilevel"/>
    <w:tmpl w:val="EADCBE94"/>
    <w:lvl w:ilvl="0" w:tplc="C12ADBA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PIJ0eWMx5n6t7AQcHRkGITGBsXHYBY3PQgvGWgT7Rs/ogPpXXi2qB7Uq8VR9E7rggCz093Ia/4CtrBtNrqErMA==" w:salt="dd8SihSd2RF/5x7/WYh9G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C17"/>
    <w:rsid w:val="00015A86"/>
    <w:rsid w:val="00105484"/>
    <w:rsid w:val="00125774"/>
    <w:rsid w:val="004B44E4"/>
    <w:rsid w:val="004F3C17"/>
    <w:rsid w:val="006165DC"/>
    <w:rsid w:val="007444E1"/>
    <w:rsid w:val="009C4957"/>
    <w:rsid w:val="00BF3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F448C"/>
  <w15:chartTrackingRefBased/>
  <w15:docId w15:val="{8BFF5117-8C69-8F48-9449-22887876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C17"/>
    <w:pPr>
      <w:ind w:left="720"/>
      <w:contextualSpacing/>
    </w:pPr>
  </w:style>
  <w:style w:type="character" w:styleId="Hyperlink">
    <w:name w:val="Hyperlink"/>
    <w:basedOn w:val="DefaultParagraphFont"/>
    <w:uiPriority w:val="99"/>
    <w:unhideWhenUsed/>
    <w:rsid w:val="004F3C17"/>
    <w:rPr>
      <w:color w:val="0563C1" w:themeColor="hyperlink"/>
      <w:u w:val="single"/>
    </w:rPr>
  </w:style>
  <w:style w:type="character" w:customStyle="1" w:styleId="UnresolvedMention">
    <w:name w:val="Unresolved Mention"/>
    <w:basedOn w:val="DefaultParagraphFont"/>
    <w:uiPriority w:val="99"/>
    <w:semiHidden/>
    <w:unhideWhenUsed/>
    <w:rsid w:val="004F3C17"/>
    <w:rPr>
      <w:color w:val="605E5C"/>
      <w:shd w:val="clear" w:color="auto" w:fill="E1DFDD"/>
    </w:rPr>
  </w:style>
  <w:style w:type="numbering" w:customStyle="1" w:styleId="CurrentList1">
    <w:name w:val="Current List1"/>
    <w:uiPriority w:val="99"/>
    <w:rsid w:val="00BF3AC6"/>
    <w:pPr>
      <w:numPr>
        <w:numId w:val="4"/>
      </w:numPr>
    </w:pPr>
  </w:style>
  <w:style w:type="numbering" w:customStyle="1" w:styleId="CurrentList2">
    <w:name w:val="Current List2"/>
    <w:uiPriority w:val="99"/>
    <w:rsid w:val="00BF3AC6"/>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159699">
      <w:bodyDiv w:val="1"/>
      <w:marLeft w:val="0"/>
      <w:marRight w:val="0"/>
      <w:marTop w:val="0"/>
      <w:marBottom w:val="0"/>
      <w:divBdr>
        <w:top w:val="none" w:sz="0" w:space="0" w:color="auto"/>
        <w:left w:val="none" w:sz="0" w:space="0" w:color="auto"/>
        <w:bottom w:val="none" w:sz="0" w:space="0" w:color="auto"/>
        <w:right w:val="none" w:sz="0" w:space="0" w:color="auto"/>
      </w:divBdr>
    </w:div>
    <w:div w:id="616134091">
      <w:bodyDiv w:val="1"/>
      <w:marLeft w:val="0"/>
      <w:marRight w:val="0"/>
      <w:marTop w:val="0"/>
      <w:marBottom w:val="0"/>
      <w:divBdr>
        <w:top w:val="none" w:sz="0" w:space="0" w:color="auto"/>
        <w:left w:val="none" w:sz="0" w:space="0" w:color="auto"/>
        <w:bottom w:val="none" w:sz="0" w:space="0" w:color="auto"/>
        <w:right w:val="none" w:sz="0" w:space="0" w:color="auto"/>
      </w:divBdr>
      <w:divsChild>
        <w:div w:id="1404179742">
          <w:marLeft w:val="0"/>
          <w:marRight w:val="0"/>
          <w:marTop w:val="0"/>
          <w:marBottom w:val="0"/>
          <w:divBdr>
            <w:top w:val="none" w:sz="0" w:space="0" w:color="auto"/>
            <w:left w:val="none" w:sz="0" w:space="0" w:color="auto"/>
            <w:bottom w:val="none" w:sz="0" w:space="0" w:color="auto"/>
            <w:right w:val="none" w:sz="0" w:space="0" w:color="auto"/>
          </w:divBdr>
          <w:divsChild>
            <w:div w:id="1351026821">
              <w:marLeft w:val="0"/>
              <w:marRight w:val="0"/>
              <w:marTop w:val="0"/>
              <w:marBottom w:val="0"/>
              <w:divBdr>
                <w:top w:val="none" w:sz="0" w:space="0" w:color="auto"/>
                <w:left w:val="none" w:sz="0" w:space="0" w:color="auto"/>
                <w:bottom w:val="none" w:sz="0" w:space="0" w:color="auto"/>
                <w:right w:val="none" w:sz="0" w:space="0" w:color="auto"/>
              </w:divBdr>
              <w:divsChild>
                <w:div w:id="96111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ms14.learnshare.com/dashboard/dash.home.aspx?Z=UGyaxR424LIiP1vLtS8kkP1SflAH0aCEuQcLWf8dU9Rt5qXzf89xuxb%2bHwNw12a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405</Words>
  <Characters>2313</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Hueppchen</dc:creator>
  <cp:keywords/>
  <dc:description/>
  <cp:lastModifiedBy>Cassie Klein</cp:lastModifiedBy>
  <cp:revision>3</cp:revision>
  <dcterms:created xsi:type="dcterms:W3CDTF">2021-09-28T12:50:00Z</dcterms:created>
  <dcterms:modified xsi:type="dcterms:W3CDTF">2021-09-28T12:51:00Z</dcterms:modified>
</cp:coreProperties>
</file>